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3CF5B0" w14:textId="2AA15965" w:rsidR="00242085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b/>
          <w:color w:val="002060"/>
        </w:rPr>
      </w:pPr>
      <w:bookmarkStart w:id="0" w:name="_Hlk235194441"/>
      <w:r>
        <w:rPr>
          <w:rFonts w:ascii="Arial" w:hAnsi="Arial" w:cs="Arial"/>
          <w:b/>
          <w:color w:val="002060"/>
        </w:rPr>
        <w:t xml:space="preserve">4 OBLIGACION </w:t>
      </w:r>
    </w:p>
    <w:p w14:paraId="0AEF5176" w14:textId="1A14C036" w:rsidR="00C30E2E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b/>
          <w:color w:val="002060"/>
        </w:rPr>
      </w:pPr>
    </w:p>
    <w:p w14:paraId="6B02E4A6" w14:textId="77777777" w:rsidR="00AA7341" w:rsidRPr="002D2F8F" w:rsidRDefault="00AA7341" w:rsidP="00AA7341">
      <w:pPr>
        <w:pStyle w:val="NormalWeb"/>
        <w:rPr>
          <w:rFonts w:ascii="Calibri" w:hAnsi="Calibri" w:cs="Calibri"/>
          <w:sz w:val="20"/>
          <w:szCs w:val="20"/>
        </w:rPr>
      </w:pPr>
      <w:r w:rsidRPr="002D2F8F">
        <w:rPr>
          <w:rStyle w:val="Textoennegrita"/>
          <w:rFonts w:ascii="Calibri" w:hAnsi="Calibri" w:cs="Calibri"/>
          <w:sz w:val="20"/>
          <w:szCs w:val="20"/>
        </w:rPr>
        <w:t>Diseñar e implementar acciones de formación orientadas al fortalecimiento de capacidades en investigación, innovación y desarrollo tecnológico, promoviendo la formulación y ejecución de proyectos que generen conocimiento aplicado al contexto regional, de acuerdo con las líneas de investigación de la Tecnoacademia y los semilleros.</w:t>
      </w:r>
    </w:p>
    <w:p w14:paraId="291E8EC4" w14:textId="1457C30E" w:rsidR="00C30E2E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b/>
          <w:color w:val="002060"/>
        </w:rPr>
      </w:pPr>
    </w:p>
    <w:p w14:paraId="05E2BF5D" w14:textId="77777777" w:rsidR="00C30E2E" w:rsidRPr="00EA6A4B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b/>
          <w:color w:val="002060"/>
        </w:rPr>
      </w:pPr>
    </w:p>
    <w:p w14:paraId="4EF73DD3" w14:textId="43774455" w:rsidR="00C30E2E" w:rsidRPr="00C30E2E" w:rsidRDefault="00C30E2E" w:rsidP="00C30E2E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C30E2E">
        <w:rPr>
          <w:rFonts w:ascii="Arial" w:hAnsi="Arial" w:cs="Arial"/>
          <w:sz w:val="24"/>
          <w:szCs w:val="24"/>
        </w:rPr>
        <w:t xml:space="preserve">Durante julio de 2026 se diseñaron e implementaron acciones de formación orientadas al fortalecimiento de capacidades en investigación, innovación y desarrollo tecnológico. Se realizaron jornadas de transferencia de conocimiento en formulación de proyectos, herramientas de inteligencia artificial, diseño e impresión 3D mediante </w:t>
      </w:r>
      <w:proofErr w:type="spellStart"/>
      <w:r w:rsidRPr="00C30E2E">
        <w:rPr>
          <w:rFonts w:ascii="Arial" w:hAnsi="Arial" w:cs="Arial"/>
          <w:sz w:val="24"/>
          <w:szCs w:val="24"/>
        </w:rPr>
        <w:t>Tinkercad</w:t>
      </w:r>
      <w:proofErr w:type="spellEnd"/>
      <w:r w:rsidRPr="00C30E2E">
        <w:rPr>
          <w:rFonts w:ascii="Arial" w:hAnsi="Arial" w:cs="Arial"/>
          <w:sz w:val="24"/>
          <w:szCs w:val="24"/>
        </w:rPr>
        <w:t xml:space="preserve">, propiedad intelectual y metodologías STEAM y ABP. Asimismo, se avanzó en la estructuración de proyectos articuladores enfocados en biotecnología ambiental y desarrollo tecnológico, promoviendo la generación de soluciones innovadoras para problemáticas del contexto regional. Como resultado se formularon propuestas de investigación aplicada, se fortalecieron los semilleros de investigación y se consolidaron competencias técnicas en estudiantes y facilitadores de la </w:t>
      </w:r>
      <w:proofErr w:type="spellStart"/>
      <w:r w:rsidRPr="00C30E2E">
        <w:rPr>
          <w:rFonts w:ascii="Arial" w:hAnsi="Arial" w:cs="Arial"/>
          <w:sz w:val="24"/>
          <w:szCs w:val="24"/>
        </w:rPr>
        <w:t>Tecnoacademia.</w:t>
      </w:r>
      <w:r w:rsidRPr="00C30E2E">
        <w:rPr>
          <w:rFonts w:ascii="Arial" w:eastAsia="Times New Roman" w:hAnsi="Arial" w:cs="Arial"/>
          <w:sz w:val="24"/>
          <w:szCs w:val="24"/>
          <w:lang w:eastAsia="es-CO"/>
        </w:rPr>
        <w:t>Se</w:t>
      </w:r>
      <w:proofErr w:type="spellEnd"/>
      <w:r w:rsidRPr="00C30E2E">
        <w:rPr>
          <w:rFonts w:ascii="Arial" w:eastAsia="Times New Roman" w:hAnsi="Arial" w:cs="Arial"/>
          <w:sz w:val="24"/>
          <w:szCs w:val="24"/>
          <w:lang w:eastAsia="es-CO"/>
        </w:rPr>
        <w:t xml:space="preserve"> realizaron jornadas de trabajo colaborativo para la formulación y estructuración de proyectos articuladores bajo las metodologías </w:t>
      </w:r>
      <w:r w:rsidRPr="00C30E2E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STEAM</w:t>
      </w:r>
      <w:r w:rsidRPr="00C30E2E">
        <w:rPr>
          <w:rFonts w:ascii="Arial" w:eastAsia="Times New Roman" w:hAnsi="Arial" w:cs="Arial"/>
          <w:sz w:val="24"/>
          <w:szCs w:val="24"/>
          <w:lang w:eastAsia="es-CO"/>
        </w:rPr>
        <w:t xml:space="preserve"> y </w:t>
      </w:r>
      <w:r w:rsidRPr="00C30E2E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Aprendizaje Basado en Proyectos (ABP)</w:t>
      </w:r>
      <w:r w:rsidRPr="00C30E2E">
        <w:rPr>
          <w:rFonts w:ascii="Arial" w:eastAsia="Times New Roman" w:hAnsi="Arial" w:cs="Arial"/>
          <w:sz w:val="24"/>
          <w:szCs w:val="24"/>
          <w:lang w:eastAsia="es-CO"/>
        </w:rPr>
        <w:t xml:space="preserve">, orientados a la solución de problemáticas reales del contexto regional. </w:t>
      </w:r>
      <w:r>
        <w:rPr>
          <w:rFonts w:ascii="Arial" w:eastAsia="Times New Roman" w:hAnsi="Arial" w:cs="Arial"/>
          <w:sz w:val="24"/>
          <w:szCs w:val="24"/>
          <w:lang w:eastAsia="es-CO"/>
        </w:rPr>
        <w:t xml:space="preserve"> </w:t>
      </w:r>
      <w:r w:rsidRPr="00C30E2E">
        <w:rPr>
          <w:rFonts w:ascii="Arial" w:eastAsia="Times New Roman" w:hAnsi="Arial" w:cs="Arial"/>
          <w:sz w:val="24"/>
          <w:szCs w:val="24"/>
          <w:lang w:eastAsia="es-CO"/>
        </w:rPr>
        <w:t xml:space="preserve">Asimismo, se fortalecieron capacidades en </w:t>
      </w:r>
      <w:r w:rsidRPr="00C30E2E">
        <w:rPr>
          <w:rFonts w:ascii="Arial" w:eastAsia="Times New Roman" w:hAnsi="Arial" w:cs="Arial"/>
          <w:b/>
          <w:bCs/>
          <w:sz w:val="24"/>
          <w:szCs w:val="24"/>
          <w:lang w:eastAsia="es-CO"/>
        </w:rPr>
        <w:t xml:space="preserve">Diseño e Impresión 3D mediante </w:t>
      </w:r>
      <w:proofErr w:type="spellStart"/>
      <w:r w:rsidRPr="00C30E2E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Tinkercad</w:t>
      </w:r>
      <w:proofErr w:type="spellEnd"/>
      <w:r w:rsidRPr="00C30E2E">
        <w:rPr>
          <w:rFonts w:ascii="Arial" w:eastAsia="Times New Roman" w:hAnsi="Arial" w:cs="Arial"/>
          <w:sz w:val="24"/>
          <w:szCs w:val="24"/>
          <w:lang w:eastAsia="es-CO"/>
        </w:rPr>
        <w:t>, fomentando la creatividad, el pensamiento de diseño y la materialización de prototipos tecnológicos.</w:t>
      </w:r>
    </w:p>
    <w:p w14:paraId="7E0BA4EF" w14:textId="37F0B3AB" w:rsidR="00C30E2E" w:rsidRPr="00C30E2E" w:rsidRDefault="00C30E2E" w:rsidP="00C30E2E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>Como parte del proceso se desarrollaron actividades relacionadas con:</w:t>
      </w:r>
    </w:p>
    <w:p w14:paraId="1FC36A80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Diseño y modelado 3D en </w:t>
      </w:r>
      <w:proofErr w:type="spellStart"/>
      <w:r w:rsidRPr="00C30E2E">
        <w:rPr>
          <w:rFonts w:ascii="Arial" w:eastAsia="Times New Roman" w:hAnsi="Arial" w:cs="Arial"/>
          <w:sz w:val="20"/>
          <w:szCs w:val="20"/>
          <w:lang w:eastAsia="es-CO"/>
        </w:rPr>
        <w:t>Tinkercad</w:t>
      </w:r>
      <w:proofErr w:type="spellEnd"/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. </w:t>
      </w:r>
    </w:p>
    <w:p w14:paraId="26D965C7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Uso y apropiación tecnológica de impresoras 3D. </w:t>
      </w:r>
    </w:p>
    <w:p w14:paraId="7D223C63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Formulación de proyectos de investigación aplicada. </w:t>
      </w:r>
    </w:p>
    <w:p w14:paraId="25738B8A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Desarrollo de propuestas de biotecnología ambiental para el tratamiento y descontaminación de aguas mediante microalgas. </w:t>
      </w:r>
    </w:p>
    <w:p w14:paraId="5CBD046C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Participación en espacios de transferencia de conocimiento sobre propiedad intelectual y diseños industriales. </w:t>
      </w:r>
    </w:p>
    <w:p w14:paraId="5A5F9486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Capacitación en herramientas de Inteligencia Artificial para la investigación, formulación de proyectos y gestión del conocimiento. </w:t>
      </w:r>
    </w:p>
    <w:p w14:paraId="1FD1CB19" w14:textId="77777777" w:rsidR="00C30E2E" w:rsidRPr="00C30E2E" w:rsidRDefault="00C30E2E" w:rsidP="00C30E2E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 xml:space="preserve">Planeación y seguimiento de proyectos articuladores de las instituciones educativas vinculadas a Tecnoacademia. </w:t>
      </w:r>
    </w:p>
    <w:p w14:paraId="4E693F92" w14:textId="77777777" w:rsidR="00C30E2E" w:rsidRPr="00C30E2E" w:rsidRDefault="00C30E2E" w:rsidP="00C30E2E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  <w:r w:rsidRPr="00C30E2E">
        <w:rPr>
          <w:rFonts w:ascii="Arial" w:eastAsia="Times New Roman" w:hAnsi="Arial" w:cs="Arial"/>
          <w:sz w:val="20"/>
          <w:szCs w:val="20"/>
          <w:lang w:eastAsia="es-CO"/>
        </w:rPr>
        <w:t>Estas acciones contribuyeron al fortalecimiento de las competencias investigativas, científicas y tecnológicas de los participantes, promoviendo la generación de soluciones innovadoras con impacto en los territorios.</w:t>
      </w:r>
    </w:p>
    <w:p w14:paraId="4281744E" w14:textId="261BF16E" w:rsidR="00C30E2E" w:rsidRPr="00EB580E" w:rsidRDefault="00C30E2E" w:rsidP="007B523C">
      <w:pPr>
        <w:pStyle w:val="Sinespaciado"/>
        <w:spacing w:after="0" w:line="240" w:lineRule="auto"/>
        <w:jc w:val="both"/>
        <w:rPr>
          <w:rFonts w:asciiTheme="majorHAnsi" w:hAnsiTheme="majorHAnsi" w:cstheme="majorHAnsi"/>
          <w:b/>
          <w:color w:val="000000" w:themeColor="text1"/>
          <w:sz w:val="20"/>
          <w:szCs w:val="20"/>
        </w:rPr>
      </w:pPr>
    </w:p>
    <w:p w14:paraId="79E46659" w14:textId="1315DDF7" w:rsidR="007B523C" w:rsidRDefault="007B523C" w:rsidP="007B523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02CB6CDF" w14:textId="77777777" w:rsidR="00C30E2E" w:rsidRDefault="00C30E2E" w:rsidP="007B523C">
      <w:pPr>
        <w:jc w:val="both"/>
        <w:rPr>
          <w:rFonts w:ascii="Arial" w:hAnsi="Arial" w:cs="Arial"/>
          <w:sz w:val="24"/>
          <w:szCs w:val="24"/>
        </w:rPr>
      </w:pPr>
    </w:p>
    <w:p w14:paraId="5DF70221" w14:textId="3EEBBEF0" w:rsidR="00C30E2E" w:rsidRDefault="007B523C" w:rsidP="007B523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59685871" w14:textId="77777777" w:rsidR="00C30E2E" w:rsidRDefault="00C30E2E" w:rsidP="00C30E2E">
      <w:pPr>
        <w:pStyle w:val="Sinespaciado"/>
        <w:spacing w:after="0" w:line="240" w:lineRule="auto"/>
        <w:jc w:val="both"/>
        <w:rPr>
          <w:rFonts w:asciiTheme="majorHAnsi" w:hAnsiTheme="majorHAnsi" w:cstheme="majorHAnsi"/>
          <w:b/>
          <w:color w:val="000000" w:themeColor="text1"/>
          <w:sz w:val="20"/>
          <w:szCs w:val="20"/>
        </w:rPr>
      </w:pPr>
      <w:r w:rsidRPr="00EB580E">
        <w:rPr>
          <w:rFonts w:asciiTheme="majorHAnsi" w:hAnsiTheme="majorHAnsi" w:cstheme="majorHAnsi"/>
          <w:b/>
          <w:color w:val="000000" w:themeColor="text1"/>
          <w:sz w:val="20"/>
          <w:szCs w:val="20"/>
        </w:rPr>
        <w:t xml:space="preserve">ILUSITACION 5 </w:t>
      </w:r>
      <w:proofErr w:type="spellStart"/>
      <w:r>
        <w:rPr>
          <w:rFonts w:asciiTheme="majorHAnsi" w:hAnsiTheme="majorHAnsi" w:cstheme="majorHAnsi"/>
          <w:b/>
          <w:color w:val="000000" w:themeColor="text1"/>
          <w:sz w:val="20"/>
          <w:szCs w:val="20"/>
        </w:rPr>
        <w:t>activiades</w:t>
      </w:r>
      <w:proofErr w:type="spellEnd"/>
      <w:r>
        <w:rPr>
          <w:rFonts w:asciiTheme="majorHAnsi" w:hAnsiTheme="majorHAnsi" w:cstheme="majorHAnsi"/>
          <w:b/>
          <w:color w:val="000000" w:themeColor="text1"/>
          <w:sz w:val="20"/>
          <w:szCs w:val="20"/>
        </w:rPr>
        <w:t xml:space="preserve"> desarrolladas </w:t>
      </w:r>
      <w:proofErr w:type="gramStart"/>
      <w:r>
        <w:rPr>
          <w:rFonts w:asciiTheme="majorHAnsi" w:hAnsiTheme="majorHAnsi" w:cstheme="majorHAnsi"/>
          <w:b/>
          <w:color w:val="000000" w:themeColor="text1"/>
          <w:sz w:val="20"/>
          <w:szCs w:val="20"/>
        </w:rPr>
        <w:t>julio  2026</w:t>
      </w:r>
      <w:proofErr w:type="gramEnd"/>
    </w:p>
    <w:p w14:paraId="0E46B013" w14:textId="77777777" w:rsidR="00C30E2E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color w:val="000000" w:themeColor="text1"/>
        </w:rPr>
      </w:pPr>
    </w:p>
    <w:p w14:paraId="60CDDFA8" w14:textId="17C091F1" w:rsidR="007B523C" w:rsidRDefault="00C30E2E" w:rsidP="00242085">
      <w:pPr>
        <w:pStyle w:val="Sinespaciado"/>
        <w:spacing w:after="0" w:line="240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7855436A" wp14:editId="7A9DE472">
            <wp:simplePos x="0" y="0"/>
            <wp:positionH relativeFrom="column">
              <wp:posOffset>3384550</wp:posOffset>
            </wp:positionH>
            <wp:positionV relativeFrom="paragraph">
              <wp:posOffset>3428365</wp:posOffset>
            </wp:positionV>
            <wp:extent cx="1442720" cy="1031240"/>
            <wp:effectExtent l="304800" t="304800" r="290830" b="302260"/>
            <wp:wrapTight wrapText="bothSides">
              <wp:wrapPolygon edited="0">
                <wp:start x="856" y="-6384"/>
                <wp:lineTo x="-4563" y="-5586"/>
                <wp:lineTo x="-4563" y="20350"/>
                <wp:lineTo x="-2282" y="26335"/>
                <wp:lineTo x="-285" y="27532"/>
                <wp:lineTo x="21391" y="27532"/>
                <wp:lineTo x="23387" y="26335"/>
                <wp:lineTo x="25669" y="20350"/>
                <wp:lineTo x="25669" y="798"/>
                <wp:lineTo x="20535" y="-5187"/>
                <wp:lineTo x="20250" y="-6384"/>
                <wp:lineTo x="856" y="-6384"/>
              </wp:wrapPolygon>
            </wp:wrapTight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/>
                    <pic:cNvPicPr/>
                  </pic:nvPicPr>
                  <pic:blipFill rotWithShape="1">
                    <a:blip r:embed="rId5"/>
                    <a:srcRect r="44068"/>
                    <a:stretch/>
                  </pic:blipFill>
                  <pic:spPr bwMode="auto">
                    <a:xfrm>
                      <a:off x="0" y="0"/>
                      <a:ext cx="1442720" cy="1031240"/>
                    </a:xfrm>
                    <a:prstGeom prst="rect">
                      <a:avLst/>
                    </a:prstGeom>
                    <a:ln w="190500" cap="sq">
                      <a:solidFill>
                        <a:schemeClr val="accent3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01A5DFA8" wp14:editId="179D91F0">
            <wp:simplePos x="0" y="0"/>
            <wp:positionH relativeFrom="margin">
              <wp:posOffset>-650367</wp:posOffset>
            </wp:positionH>
            <wp:positionV relativeFrom="paragraph">
              <wp:posOffset>147955</wp:posOffset>
            </wp:positionV>
            <wp:extent cx="6629400" cy="4315460"/>
            <wp:effectExtent l="0" t="0" r="0" b="889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87" t="27157" r="29735" b="13498"/>
                    <a:stretch/>
                  </pic:blipFill>
                  <pic:spPr bwMode="auto">
                    <a:xfrm>
                      <a:off x="0" y="0"/>
                      <a:ext cx="6631886" cy="4317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AB7C87" w14:textId="34DA3009" w:rsidR="00C30E2E" w:rsidRPr="00C30E2E" w:rsidRDefault="00C30E2E" w:rsidP="00C30E2E">
      <w:pPr>
        <w:rPr>
          <w:lang w:eastAsia="es-CO"/>
        </w:rPr>
      </w:pPr>
    </w:p>
    <w:p w14:paraId="31718B5C" w14:textId="6BFC03D6" w:rsidR="00C30E2E" w:rsidRPr="00C30E2E" w:rsidRDefault="00C30E2E" w:rsidP="00C30E2E">
      <w:pPr>
        <w:rPr>
          <w:lang w:eastAsia="es-CO"/>
        </w:rPr>
      </w:pPr>
    </w:p>
    <w:p w14:paraId="3E2C2A85" w14:textId="3F67FADF" w:rsidR="00C30E2E" w:rsidRPr="00C30E2E" w:rsidRDefault="00C30E2E" w:rsidP="00C30E2E">
      <w:pPr>
        <w:rPr>
          <w:lang w:eastAsia="es-CO"/>
        </w:rPr>
      </w:pPr>
    </w:p>
    <w:p w14:paraId="13100C97" w14:textId="69BFAC95" w:rsidR="00C30E2E" w:rsidRPr="00C30E2E" w:rsidRDefault="00C30E2E" w:rsidP="00C30E2E">
      <w:pPr>
        <w:rPr>
          <w:lang w:eastAsia="es-CO"/>
        </w:rPr>
      </w:pPr>
    </w:p>
    <w:p w14:paraId="794CC504" w14:textId="112F1215" w:rsidR="00C30E2E" w:rsidRPr="00C30E2E" w:rsidRDefault="00C30E2E" w:rsidP="00C30E2E">
      <w:pPr>
        <w:rPr>
          <w:lang w:eastAsia="es-CO"/>
        </w:rPr>
      </w:pPr>
    </w:p>
    <w:p w14:paraId="55D56B32" w14:textId="777E4683" w:rsidR="00C30E2E" w:rsidRPr="00C30E2E" w:rsidRDefault="00C30E2E" w:rsidP="00C30E2E">
      <w:pPr>
        <w:rPr>
          <w:lang w:eastAsia="es-CO"/>
        </w:rPr>
      </w:pPr>
    </w:p>
    <w:p w14:paraId="4263F844" w14:textId="1038191B" w:rsidR="00C30E2E" w:rsidRPr="00C30E2E" w:rsidRDefault="00C30E2E" w:rsidP="00C30E2E">
      <w:pPr>
        <w:rPr>
          <w:lang w:eastAsia="es-CO"/>
        </w:rPr>
      </w:pPr>
    </w:p>
    <w:p w14:paraId="5327D076" w14:textId="39752CCA" w:rsidR="00C30E2E" w:rsidRPr="00C30E2E" w:rsidRDefault="00C30E2E" w:rsidP="00C30E2E">
      <w:pPr>
        <w:rPr>
          <w:lang w:eastAsia="es-CO"/>
        </w:rPr>
      </w:pPr>
    </w:p>
    <w:p w14:paraId="5F4406C4" w14:textId="4FC46EAF" w:rsidR="00C30E2E" w:rsidRPr="00C30E2E" w:rsidRDefault="00C30E2E" w:rsidP="00C30E2E">
      <w:pPr>
        <w:rPr>
          <w:lang w:eastAsia="es-CO"/>
        </w:rPr>
      </w:pPr>
    </w:p>
    <w:p w14:paraId="3DD7157A" w14:textId="7F5FC45B" w:rsidR="00C30E2E" w:rsidRPr="00C30E2E" w:rsidRDefault="00C30E2E" w:rsidP="00C30E2E">
      <w:pPr>
        <w:rPr>
          <w:lang w:eastAsia="es-CO"/>
        </w:rPr>
      </w:pPr>
    </w:p>
    <w:p w14:paraId="17FCCB80" w14:textId="5817AB77" w:rsidR="00C30E2E" w:rsidRPr="00C30E2E" w:rsidRDefault="00C30E2E" w:rsidP="00C30E2E">
      <w:pPr>
        <w:rPr>
          <w:lang w:eastAsia="es-CO"/>
        </w:rPr>
      </w:pPr>
    </w:p>
    <w:p w14:paraId="1F19D664" w14:textId="3D426BDB" w:rsidR="00C30E2E" w:rsidRPr="00C30E2E" w:rsidRDefault="00C30E2E" w:rsidP="00C30E2E">
      <w:pPr>
        <w:rPr>
          <w:lang w:eastAsia="es-CO"/>
        </w:rPr>
      </w:pPr>
    </w:p>
    <w:p w14:paraId="38308CDF" w14:textId="39991876" w:rsidR="00C30E2E" w:rsidRPr="00C30E2E" w:rsidRDefault="00C30E2E" w:rsidP="00C30E2E">
      <w:pPr>
        <w:rPr>
          <w:lang w:eastAsia="es-CO"/>
        </w:rPr>
      </w:pPr>
    </w:p>
    <w:p w14:paraId="414C2B5A" w14:textId="2227F649" w:rsidR="00C30E2E" w:rsidRPr="00C30E2E" w:rsidRDefault="00C30E2E" w:rsidP="00C30E2E">
      <w:pPr>
        <w:rPr>
          <w:lang w:eastAsia="es-CO"/>
        </w:rPr>
      </w:pPr>
    </w:p>
    <w:p w14:paraId="430DE7CB" w14:textId="07822460" w:rsidR="00C30E2E" w:rsidRDefault="00C30E2E" w:rsidP="00C30E2E">
      <w:pPr>
        <w:rPr>
          <w:rFonts w:ascii="Arial" w:eastAsiaTheme="minorEastAsia" w:hAnsi="Arial" w:cs="Arial"/>
          <w:color w:val="000000" w:themeColor="text1"/>
          <w:lang w:eastAsia="es-CO"/>
        </w:rPr>
      </w:pPr>
    </w:p>
    <w:p w14:paraId="2BB84D7B" w14:textId="77777777" w:rsidR="00C30E2E" w:rsidRPr="00643DF4" w:rsidRDefault="00C30E2E" w:rsidP="00C30E2E">
      <w:pPr>
        <w:pStyle w:val="Textoindependiente1"/>
        <w:spacing w:line="273" w:lineRule="auto"/>
        <w:rPr>
          <w:rFonts w:ascii="Arial" w:hAnsi="Arial" w:cs="Arial"/>
        </w:rPr>
      </w:pPr>
      <w:r>
        <w:tab/>
      </w:r>
      <w:r w:rsidRPr="000E6A42">
        <w:rPr>
          <w:rFonts w:ascii="Arial" w:hAnsi="Arial" w:cs="Arial"/>
          <w:b/>
        </w:rPr>
        <w:t>Fuente:</w:t>
      </w:r>
      <w:r w:rsidRPr="00CF4C14">
        <w:rPr>
          <w:rFonts w:ascii="Arial" w:hAnsi="Arial" w:cs="Arial"/>
        </w:rPr>
        <w:t xml:space="preserve"> Facilitad</w:t>
      </w:r>
      <w:r>
        <w:rPr>
          <w:rFonts w:ascii="Arial" w:hAnsi="Arial" w:cs="Arial"/>
        </w:rPr>
        <w:t>or Equipo tecnoacademia. julio</w:t>
      </w:r>
      <w:r w:rsidRPr="00CF4C14">
        <w:rPr>
          <w:rFonts w:ascii="Arial" w:hAnsi="Arial" w:cs="Arial"/>
        </w:rPr>
        <w:t xml:space="preserve"> 2026 </w:t>
      </w:r>
    </w:p>
    <w:bookmarkEnd w:id="0"/>
    <w:p w14:paraId="26BA313F" w14:textId="58813203" w:rsidR="00C30E2E" w:rsidRPr="00C30E2E" w:rsidRDefault="00C30E2E" w:rsidP="00C30E2E">
      <w:pPr>
        <w:tabs>
          <w:tab w:val="left" w:pos="1728"/>
        </w:tabs>
        <w:rPr>
          <w:lang w:eastAsia="es-CO"/>
        </w:rPr>
      </w:pPr>
    </w:p>
    <w:sectPr w:rsidR="00C30E2E" w:rsidRPr="00C30E2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67044A"/>
    <w:multiLevelType w:val="multilevel"/>
    <w:tmpl w:val="7D5EF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B212480"/>
    <w:multiLevelType w:val="multilevel"/>
    <w:tmpl w:val="F0BA9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2085"/>
    <w:rsid w:val="00242085"/>
    <w:rsid w:val="007B523C"/>
    <w:rsid w:val="00AA7341"/>
    <w:rsid w:val="00C16AE1"/>
    <w:rsid w:val="00C30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B1C97"/>
  <w15:chartTrackingRefBased/>
  <w15:docId w15:val="{ABD75A41-0FE0-41B4-AF9E-255CB1D999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208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242085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qFormat/>
    <w:rsid w:val="00242085"/>
    <w:rPr>
      <w:rFonts w:eastAsiaTheme="minorEastAsia"/>
      <w:lang w:eastAsia="es-CO"/>
    </w:rPr>
  </w:style>
  <w:style w:type="paragraph" w:customStyle="1" w:styleId="Textoindependiente1">
    <w:name w:val="Texto independiente1"/>
    <w:basedOn w:val="Normal"/>
    <w:rsid w:val="00242085"/>
    <w:pPr>
      <w:widowControl w:val="0"/>
      <w:autoSpaceDE w:val="0"/>
      <w:autoSpaceDN w:val="0"/>
      <w:spacing w:after="0" w:line="240" w:lineRule="auto"/>
    </w:pPr>
    <w:rPr>
      <w:rFonts w:eastAsia="Times New Roman" w:cs="Calibri"/>
      <w:sz w:val="24"/>
      <w:szCs w:val="24"/>
      <w:lang w:eastAsia="es-CO"/>
    </w:rPr>
  </w:style>
  <w:style w:type="paragraph" w:styleId="NormalWeb">
    <w:name w:val="Normal (Web)"/>
    <w:basedOn w:val="Normal"/>
    <w:uiPriority w:val="99"/>
    <w:unhideWhenUsed/>
    <w:rsid w:val="007B523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7B523C"/>
    <w:rPr>
      <w:b/>
      <w:bCs/>
    </w:rPr>
  </w:style>
  <w:style w:type="paragraph" w:customStyle="1" w:styleId="pdq2pgselectionanchorcontainer">
    <w:name w:val="pdq2pg_selectionanchorcontainer"/>
    <w:basedOn w:val="Normal"/>
    <w:rsid w:val="00C30E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710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407</Words>
  <Characters>2241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Leydi Laura Daza Poveda</dc:creator>
  <cp:keywords/>
  <dc:description/>
  <cp:lastModifiedBy>Leydi Laura Daza Poveda</cp:lastModifiedBy>
  <cp:revision>2</cp:revision>
  <cp:lastPrinted>2026-06-16T19:59:00Z</cp:lastPrinted>
  <dcterms:created xsi:type="dcterms:W3CDTF">2026-07-17T20:28:00Z</dcterms:created>
  <dcterms:modified xsi:type="dcterms:W3CDTF">2026-07-17T20:28:00Z</dcterms:modified>
</cp:coreProperties>
</file>